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212"/>
        <w:gridCol w:w="1416"/>
        <w:tblGridChange w:id="0">
          <w:tblGrid>
            <w:gridCol w:w="8212"/>
            <w:gridCol w:w="1416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Arial" w:cs="Arial" w:eastAsia="Arial" w:hAnsi="Arial"/>
                <w:b w:val="1"/>
                <w:sz w:val="44"/>
                <w:szCs w:val="4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44"/>
                <w:szCs w:val="44"/>
                <w:rtl w:val="0"/>
              </w:rPr>
              <w:t xml:space="preserve">PROGRAMMA SVOLTO</w:t>
            </w:r>
          </w:p>
        </w:tc>
        <w:tc>
          <w:tcPr/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762000" cy="1041400"/>
                  <wp:effectExtent b="0" l="0" r="0" t="0"/>
                  <wp:docPr id="3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10414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Docente: Elisa Di Lao</w:t>
      </w:r>
    </w:p>
    <w:p w:rsidR="00000000" w:rsidDel="00000000" w:rsidP="00000000" w:rsidRDefault="00000000" w:rsidRPr="00000000" w14:paraId="00000007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Materia di insegnamento: Diritto e Legislazione Turistica</w:t>
      </w:r>
    </w:p>
    <w:p w:rsidR="00000000" w:rsidDel="00000000" w:rsidP="00000000" w:rsidRDefault="00000000" w:rsidRPr="00000000" w14:paraId="00000008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Classe: VR</w:t>
      </w:r>
    </w:p>
    <w:p w:rsidR="00000000" w:rsidDel="00000000" w:rsidP="00000000" w:rsidRDefault="00000000" w:rsidRPr="00000000" w14:paraId="00000009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Anno scolastico: 2023/24</w:t>
      </w:r>
    </w:p>
    <w:p w:rsidR="00000000" w:rsidDel="00000000" w:rsidP="00000000" w:rsidRDefault="00000000" w:rsidRPr="00000000" w14:paraId="0000000A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76" w:lineRule="auto"/>
        <w:jc w:val="center"/>
        <w:rPr>
          <w:rFonts w:ascii="Verdana" w:cs="Verdana" w:eastAsia="Verdana" w:hAnsi="Verdana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PROGRAMMA SVOLTO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 w14:paraId="0000000E">
      <w:pPr>
        <w:spacing w:after="0"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18.0" w:type="dxa"/>
        <w:jc w:val="left"/>
        <w:tblLayout w:type="fixed"/>
        <w:tblLook w:val="0400"/>
      </w:tblPr>
      <w:tblGrid>
        <w:gridCol w:w="9618"/>
        <w:tblGridChange w:id="0">
          <w:tblGrid>
            <w:gridCol w:w="9618"/>
          </w:tblGrid>
        </w:tblGridChange>
      </w:tblGrid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spacing w:after="0" w:line="240" w:lineRule="auto"/>
              <w:ind w:left="360" w:firstLine="0"/>
              <w:rPr>
                <w:rFonts w:ascii="Verdana" w:cs="Verdana" w:eastAsia="Verdana" w:hAnsi="Verdana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sz w:val="20"/>
                <w:szCs w:val="20"/>
                <w:rtl w:val="0"/>
              </w:rPr>
              <w:t xml:space="preserve">UdA 1 – LE ISTITUZIONI PUBBLICHE</w:t>
            </w:r>
          </w:p>
          <w:p w:rsidR="00000000" w:rsidDel="00000000" w:rsidP="00000000" w:rsidRDefault="00000000" w:rsidRPr="00000000" w14:paraId="00000010">
            <w:pPr>
              <w:spacing w:after="0" w:line="240" w:lineRule="auto"/>
              <w:ind w:left="36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after="60" w:before="60" w:line="240" w:lineRule="auto"/>
              <w:ind w:left="36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0"/>
                <w:szCs w:val="20"/>
                <w:rtl w:val="0"/>
              </w:rPr>
              <w:t xml:space="preserve">Struttura, organizzazione e funzionamento degli organi costituzionali: Parlamento, Presidente della Repubblica, Governo, Corte costituzionale e magistratura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after="60" w:before="60" w:line="240" w:lineRule="auto"/>
              <w:ind w:left="36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0"/>
                <w:szCs w:val="20"/>
                <w:rtl w:val="0"/>
              </w:rPr>
              <w:t xml:space="preserve">La natura, l’organizzazione e le funzioni delle Regioni e degli enti locali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after="60" w:before="60" w:line="240" w:lineRule="auto"/>
              <w:ind w:left="36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0"/>
                <w:szCs w:val="20"/>
                <w:rtl w:val="0"/>
              </w:rPr>
              <w:t xml:space="preserve">Cause e fasi del processo di formazione dell’Unione europea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after="60" w:before="60" w:line="240" w:lineRule="auto"/>
              <w:ind w:left="36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0"/>
                <w:szCs w:val="20"/>
                <w:rtl w:val="0"/>
              </w:rPr>
              <w:t xml:space="preserve">Composizione, funzioni e rapporti tra le istituzioni comunitarie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after="60" w:before="60" w:line="240" w:lineRule="auto"/>
              <w:ind w:left="360" w:firstLine="0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after="60" w:before="60" w:line="240" w:lineRule="auto"/>
              <w:ind w:left="360" w:firstLine="0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sz w:val="20"/>
                <w:szCs w:val="20"/>
                <w:rtl w:val="0"/>
              </w:rPr>
              <w:t xml:space="preserve">Clil</w:t>
            </w:r>
            <w:r w:rsidDel="00000000" w:rsidR="00000000" w:rsidRPr="00000000">
              <w:rPr>
                <w:rFonts w:ascii="Verdana" w:cs="Verdana" w:eastAsia="Verdana" w:hAnsi="Verdana"/>
                <w:color w:val="000000"/>
                <w:sz w:val="20"/>
                <w:szCs w:val="20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17">
            <w:pPr>
              <w:spacing w:after="60" w:before="60" w:line="240" w:lineRule="auto"/>
              <w:ind w:left="360" w:firstLine="0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0"/>
                <w:szCs w:val="20"/>
                <w:rtl w:val="0"/>
              </w:rPr>
              <w:t xml:space="preserve">Fonti del diritto internazionale</w:t>
            </w:r>
          </w:p>
          <w:p w:rsidR="00000000" w:rsidDel="00000000" w:rsidP="00000000" w:rsidRDefault="00000000" w:rsidRPr="00000000" w14:paraId="00000018">
            <w:pPr>
              <w:spacing w:after="60" w:before="60" w:line="240" w:lineRule="auto"/>
              <w:ind w:left="360" w:firstLine="0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0"/>
                <w:szCs w:val="20"/>
                <w:rtl w:val="0"/>
              </w:rPr>
              <w:t xml:space="preserve">Fonti del diritto comunitario </w:t>
            </w:r>
          </w:p>
          <w:p w:rsidR="00000000" w:rsidDel="00000000" w:rsidP="00000000" w:rsidRDefault="00000000" w:rsidRPr="00000000" w14:paraId="00000019">
            <w:pPr>
              <w:spacing w:after="60" w:before="60" w:line="240" w:lineRule="auto"/>
              <w:ind w:left="36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after="0" w:line="240" w:lineRule="auto"/>
              <w:ind w:left="36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0"/>
                <w:szCs w:val="20"/>
                <w:rtl w:val="0"/>
              </w:rPr>
              <w:t xml:space="preserve">Origini storiche, struttura e competenze dell’ONU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after="0" w:line="240" w:lineRule="auto"/>
              <w:ind w:left="36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sz w:val="20"/>
                <w:szCs w:val="20"/>
                <w:rtl w:val="0"/>
              </w:rPr>
              <w:t xml:space="preserve">A 2 – L’ORGANIZZAZIONE PUBBLICA DEL TURISMO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after="60" w:before="60" w:line="240" w:lineRule="auto"/>
              <w:ind w:left="36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0"/>
                <w:szCs w:val="20"/>
                <w:rtl w:val="0"/>
              </w:rPr>
              <w:t xml:space="preserve">L’attività amministrativa: nozione e caratteri distintivi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after="60" w:before="60" w:line="240" w:lineRule="auto"/>
              <w:ind w:left="36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0"/>
                <w:szCs w:val="20"/>
                <w:rtl w:val="0"/>
              </w:rPr>
              <w:t xml:space="preserve">L’attività amministrativa attiva, consultiva e di controllo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60" w:before="60" w:line="240" w:lineRule="auto"/>
              <w:ind w:left="36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0"/>
                <w:szCs w:val="20"/>
                <w:rtl w:val="0"/>
              </w:rPr>
              <w:t xml:space="preserve">L’organizzazione nazionale del turismo a livello central e periferico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after="60" w:before="60" w:line="240" w:lineRule="auto"/>
              <w:ind w:left="36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0"/>
                <w:szCs w:val="20"/>
                <w:rtl w:val="0"/>
              </w:rPr>
              <w:t xml:space="preserve">Il ruolo dell’Unione europea in tema di turismo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after="0" w:line="240" w:lineRule="auto"/>
              <w:ind w:left="36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0"/>
                <w:szCs w:val="20"/>
                <w:rtl w:val="0"/>
              </w:rPr>
              <w:t xml:space="preserve">Le organizzazioni internazionali, con particolare riferimento a quelle che operano nel settore turistico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spacing w:after="60" w:before="60" w:line="240" w:lineRule="auto"/>
              <w:ind w:left="360" w:firstLine="0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sz w:val="20"/>
                <w:szCs w:val="20"/>
                <w:rtl w:val="0"/>
              </w:rPr>
              <w:t xml:space="preserve">UdA 3 – I FINANZIAMENTI AL TURISMO</w:t>
            </w:r>
            <w:r w:rsidDel="00000000" w:rsidR="00000000" w:rsidRPr="00000000">
              <w:rPr>
                <w:rFonts w:ascii="Verdana" w:cs="Verdana" w:eastAsia="Verdana" w:hAnsi="Verdana"/>
                <w:color w:val="000000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2">
            <w:pPr>
              <w:spacing w:after="60" w:before="60" w:line="240" w:lineRule="auto"/>
              <w:ind w:left="36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0"/>
                <w:szCs w:val="20"/>
                <w:rtl w:val="0"/>
              </w:rPr>
              <w:t xml:space="preserve">Il ruolo dell’Unione europea nelle politiche di sviluppo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after="60" w:before="60" w:line="240" w:lineRule="auto"/>
              <w:ind w:left="36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0"/>
                <w:szCs w:val="20"/>
                <w:rtl w:val="0"/>
              </w:rPr>
              <w:t xml:space="preserve">Gli strumenti finanziari, diretti e indiretti, gestiti dall’Unione europea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after="60" w:before="60" w:line="240" w:lineRule="auto"/>
              <w:ind w:left="36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0"/>
                <w:szCs w:val="20"/>
                <w:rtl w:val="0"/>
              </w:rPr>
              <w:t xml:space="preserve">Gli strumenti a sostegno dello sviluppo in Italia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after="60" w:before="60" w:line="240" w:lineRule="auto"/>
              <w:ind w:left="36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0"/>
                <w:szCs w:val="20"/>
                <w:rtl w:val="0"/>
              </w:rPr>
              <w:t xml:space="preserve">Gli strumenti finanziari destinati al turismo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spacing w:after="60" w:before="60" w:line="240" w:lineRule="auto"/>
              <w:ind w:left="36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sz w:val="20"/>
                <w:szCs w:val="20"/>
                <w:rtl w:val="0"/>
              </w:rPr>
              <w:t xml:space="preserve">UdA 4 – I BENI CULTURALI E AMBIENTALI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after="60" w:before="60" w:line="240" w:lineRule="auto"/>
              <w:ind w:left="36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0"/>
                <w:szCs w:val="20"/>
                <w:rtl w:val="0"/>
              </w:rPr>
              <w:t xml:space="preserve">Il patrimonio culturale italiano e le fonti che lo regolano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after="60" w:before="60" w:line="240" w:lineRule="auto"/>
              <w:ind w:left="36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0"/>
                <w:szCs w:val="20"/>
                <w:rtl w:val="0"/>
              </w:rPr>
              <w:t xml:space="preserve">Tutela e valorizzazione dei beni culturali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after="60" w:before="60" w:line="240" w:lineRule="auto"/>
              <w:ind w:left="36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0"/>
                <w:szCs w:val="20"/>
                <w:rtl w:val="0"/>
              </w:rPr>
              <w:t xml:space="preserve">La legislazione internazionale relativa ai beni culturali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60" w:before="60" w:line="240" w:lineRule="auto"/>
              <w:ind w:left="36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0"/>
                <w:szCs w:val="20"/>
                <w:rtl w:val="0"/>
              </w:rPr>
              <w:t xml:space="preserve">La tutela del paesaggio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60" w:before="60" w:line="240" w:lineRule="auto"/>
              <w:ind w:left="36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0"/>
                <w:szCs w:val="20"/>
                <w:rtl w:val="0"/>
              </w:rPr>
              <w:t xml:space="preserve">La legislazione internazionale relativa al paesaggio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spacing w:after="60" w:before="60" w:line="240" w:lineRule="auto"/>
              <w:ind w:left="36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sz w:val="20"/>
                <w:szCs w:val="20"/>
                <w:rtl w:val="0"/>
              </w:rPr>
              <w:t xml:space="preserve">UdA 5 – LA TUTELA DEL CONSUMATORE E L’E-COMMERCE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60" w:before="60" w:line="240" w:lineRule="auto"/>
              <w:ind w:left="36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0"/>
                <w:szCs w:val="20"/>
                <w:rtl w:val="0"/>
              </w:rPr>
              <w:t xml:space="preserve">La legislazione europea e italiana a tutela dei consumatori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60" w:before="60" w:line="240" w:lineRule="auto"/>
              <w:ind w:left="36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0"/>
                <w:szCs w:val="20"/>
                <w:rtl w:val="0"/>
              </w:rPr>
              <w:t xml:space="preserve">I contratti dei Consumatori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60" w:before="60" w:line="240" w:lineRule="auto"/>
              <w:ind w:left="36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0"/>
                <w:szCs w:val="20"/>
                <w:rtl w:val="0"/>
              </w:rPr>
              <w:t xml:space="preserve">con particolare riferimento a quelli stipulati fuori dai locali commerciali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60" w:before="60" w:line="240" w:lineRule="auto"/>
              <w:ind w:left="36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0"/>
                <w:szCs w:val="20"/>
                <w:rtl w:val="0"/>
              </w:rPr>
              <w:t xml:space="preserve">La tutela del turista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60" w:before="60" w:line="240" w:lineRule="auto"/>
              <w:ind w:left="36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0"/>
                <w:szCs w:val="20"/>
                <w:rtl w:val="0"/>
              </w:rPr>
              <w:t xml:space="preserve">La tutela dei viaggiatori nelle varie forme di trasporto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after="60" w:before="60" w:line="240" w:lineRule="auto"/>
              <w:ind w:left="36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0"/>
                <w:szCs w:val="20"/>
                <w:rtl w:val="0"/>
              </w:rPr>
              <w:t xml:space="preserve">La comunicazione aziendale realizzata con le tecnologie informatiche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after="60" w:before="60" w:line="240" w:lineRule="auto"/>
              <w:ind w:left="36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0"/>
                <w:szCs w:val="20"/>
                <w:rtl w:val="0"/>
              </w:rPr>
              <w:t xml:space="preserve">Il commercio elettronico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spacing w:after="0"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76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8">
      <w:pPr>
        <w:spacing w:after="0" w:line="276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INDICAZIONI RELATIVE ALLE METODOLOGIE DIDATTICHE ADOTTATE E ALLE MODALITÀ’ DI VALUTAZIONE</w:t>
      </w:r>
    </w:p>
    <w:p w:rsidR="00000000" w:rsidDel="00000000" w:rsidP="00000000" w:rsidRDefault="00000000" w:rsidRPr="00000000" w14:paraId="00000039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con l’obiettivo di favorire un apprendimento significativo, sono state utilizzate le seguenti metodologie didattiche</w:t>
      </w:r>
    </w:p>
    <w:p w:rsidR="00000000" w:rsidDel="00000000" w:rsidP="00000000" w:rsidRDefault="00000000" w:rsidRPr="00000000" w14:paraId="0000003B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36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Lezione frontale /partecipata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36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brainstorming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360" w:right="0" w:hanging="360"/>
        <w:jc w:val="left"/>
        <w:rPr>
          <w:rFonts w:ascii="Verdana" w:cs="Verdana" w:eastAsia="Verdana" w:hAnsi="Verdana"/>
          <w:sz w:val="20"/>
          <w:szCs w:val="20"/>
          <w:u w:val="no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Discussioni guidate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36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Flipped classroom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36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jig saw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36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Creazione mappe concettuali /mentali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360" w:right="0" w:hanging="360"/>
        <w:jc w:val="left"/>
        <w:rPr>
          <w:rFonts w:ascii="Verdana" w:cs="Verdana" w:eastAsia="Verdana" w:hAnsi="Verdana"/>
          <w:sz w:val="20"/>
          <w:szCs w:val="20"/>
          <w:u w:val="no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lavori di gruppo, a composizione variabile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right="0"/>
        <w:jc w:val="left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right="0"/>
        <w:jc w:val="left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per la stessa ragione, durante il corso dell’anno si è dato ampio spazio alle tematiche e novità di settore.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right="0"/>
        <w:jc w:val="left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quindi, gli strumenti utilizzati sono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right="0"/>
        <w:jc w:val="left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Libro di testo</w:t>
      </w:r>
    </w:p>
    <w:p w:rsidR="00000000" w:rsidDel="00000000" w:rsidP="00000000" w:rsidRDefault="00000000" w:rsidRPr="00000000" w14:paraId="00000047">
      <w:pPr>
        <w:spacing w:after="60" w:before="6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Materiale di approfondimento  fornito dal docente</w:t>
      </w:r>
    </w:p>
    <w:p w:rsidR="00000000" w:rsidDel="00000000" w:rsidP="00000000" w:rsidRDefault="00000000" w:rsidRPr="00000000" w14:paraId="00000048">
      <w:pPr>
        <w:spacing w:after="60" w:before="6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risorse on line</w:t>
      </w:r>
    </w:p>
    <w:p w:rsidR="00000000" w:rsidDel="00000000" w:rsidP="00000000" w:rsidRDefault="00000000" w:rsidRPr="00000000" w14:paraId="00000049">
      <w:pPr>
        <w:spacing w:after="60" w:before="6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fonti di settore </w:t>
      </w:r>
    </w:p>
    <w:p w:rsidR="00000000" w:rsidDel="00000000" w:rsidP="00000000" w:rsidRDefault="00000000" w:rsidRPr="00000000" w14:paraId="0000004A">
      <w:pPr>
        <w:spacing w:after="60" w:before="6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articoli di stampa</w:t>
      </w:r>
    </w:p>
    <w:p w:rsidR="00000000" w:rsidDel="00000000" w:rsidP="00000000" w:rsidRDefault="00000000" w:rsidRPr="00000000" w14:paraId="0000004B">
      <w:pPr>
        <w:spacing w:after="60" w:before="6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60" w:before="6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La valutazione didattica è stata effettuata attraverso verifiche orali, in itinere e finali</w:t>
      </w:r>
    </w:p>
    <w:p w:rsidR="00000000" w:rsidDel="00000000" w:rsidP="00000000" w:rsidRDefault="00000000" w:rsidRPr="00000000" w14:paraId="0000004D">
      <w:pPr>
        <w:spacing w:after="60" w:before="60"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la valutazione finale terrà conto dei progressi, dell'impegno e del coinvolgimento alle attività proposte durante l’intero percorso didattico. 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right="0"/>
        <w:jc w:val="left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Verdan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Grigliatabella">
    <w:name w:val="Table Grid"/>
    <w:basedOn w:val="Tabellanormale"/>
    <w:uiPriority w:val="39"/>
    <w:rsid w:val="003D2FF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NormaleWeb">
    <w:name w:val="Normal (Web)"/>
    <w:basedOn w:val="Normale"/>
    <w:uiPriority w:val="99"/>
    <w:semiHidden w:val="1"/>
    <w:unhideWhenUsed w:val="1"/>
    <w:rsid w:val="006C28BC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sNRm9hKsKS6NfAp7GzEz2Fhmag==">CgMxLjA4AHIhMXliNGVGN09jc290bVRURnkxVmlGWnhQV0dUU04xS0tu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2021-05-17T06:42:00Z</dcterms:created>
  <dc:creator>Fabio Banderali</dc:creator>
</cp:coreProperties>
</file>