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99992370605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99.999923706055"/>
        <w:gridCol w:w="1440"/>
        <w:tblGridChange w:id="0">
          <w:tblGrid>
            <w:gridCol w:w="8199.999923706055"/>
            <w:gridCol w:w="1440"/>
          </w:tblGrid>
        </w:tblGridChange>
      </w:tblGrid>
      <w:tr>
        <w:trPr>
          <w:cantSplit w:val="0"/>
          <w:trHeight w:val="20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48"/>
                <w:szCs w:val="48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INGLESE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0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762000" cy="103822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38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a.s. 2023/2024                                                classe: VA AFM  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Materia: Lingua Inglese                                                   prof. Manghi Manoela</w:t>
      </w:r>
    </w:p>
    <w:p w:rsidR="00000000" w:rsidDel="00000000" w:rsidP="00000000" w:rsidRDefault="00000000" w:rsidRPr="00000000" w14:paraId="0000000B">
      <w:pPr>
        <w:spacing w:line="360" w:lineRule="auto"/>
        <w:ind w:left="-851" w:right="-1342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             Testo in adozione: C. Medaglia – M. Seiffart,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u w:val="single"/>
          <w:rtl w:val="0"/>
        </w:rPr>
        <w:t xml:space="preserve">Twenty- Thirty, English for responsible business,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Rizzoli</w:t>
      </w:r>
    </w:p>
    <w:p w:rsidR="00000000" w:rsidDel="00000000" w:rsidP="00000000" w:rsidRDefault="00000000" w:rsidRPr="00000000" w14:paraId="0000000C">
      <w:pPr>
        <w:spacing w:line="360" w:lineRule="auto"/>
        <w:ind w:right="-1342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Gillan Hammond, Caroline Henderson, Karen Allright, Jonnel Licari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u w:val="single"/>
          <w:rtl w:val="0"/>
        </w:rPr>
        <w:t xml:space="preserve">, ULTIMATE INVALSI,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Liberty</w:t>
      </w:r>
    </w:p>
    <w:p w:rsidR="00000000" w:rsidDel="00000000" w:rsidP="00000000" w:rsidRDefault="00000000" w:rsidRPr="00000000" w14:paraId="0000000D">
      <w:pPr>
        <w:spacing w:line="360" w:lineRule="auto"/>
        <w:ind w:right="-13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right="-134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 ULTIMATE INVALSI:</w:t>
      </w:r>
    </w:p>
    <w:p w:rsidR="00000000" w:rsidDel="00000000" w:rsidP="00000000" w:rsidRDefault="00000000" w:rsidRPr="00000000" w14:paraId="0000000F">
      <w:pPr>
        <w:spacing w:line="360" w:lineRule="auto"/>
        <w:ind w:right="-134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PROVA 3</w:t>
      </w:r>
    </w:p>
    <w:p w:rsidR="00000000" w:rsidDel="00000000" w:rsidP="00000000" w:rsidRDefault="00000000" w:rsidRPr="00000000" w14:paraId="00000010">
      <w:pPr>
        <w:spacing w:line="360" w:lineRule="auto"/>
        <w:ind w:right="-134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PROVA 4</w:t>
      </w:r>
    </w:p>
    <w:p w:rsidR="00000000" w:rsidDel="00000000" w:rsidP="00000000" w:rsidRDefault="00000000" w:rsidRPr="00000000" w14:paraId="00000011">
      <w:pPr>
        <w:spacing w:line="360" w:lineRule="auto"/>
        <w:ind w:right="-134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PROVA 5</w:t>
      </w:r>
    </w:p>
    <w:p w:rsidR="00000000" w:rsidDel="00000000" w:rsidP="00000000" w:rsidRDefault="00000000" w:rsidRPr="00000000" w14:paraId="00000012">
      <w:pPr>
        <w:spacing w:line="360" w:lineRule="auto"/>
        <w:ind w:right="-134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PROVA 6</w:t>
      </w:r>
    </w:p>
    <w:p w:rsidR="00000000" w:rsidDel="00000000" w:rsidP="00000000" w:rsidRDefault="00000000" w:rsidRPr="00000000" w14:paraId="00000013">
      <w:pPr>
        <w:spacing w:line="360" w:lineRule="auto"/>
        <w:ind w:right="-134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PROVA 7</w:t>
      </w:r>
    </w:p>
    <w:p w:rsidR="00000000" w:rsidDel="00000000" w:rsidP="00000000" w:rsidRDefault="00000000" w:rsidRPr="00000000" w14:paraId="00000014">
      <w:pPr>
        <w:spacing w:line="360" w:lineRule="auto"/>
        <w:ind w:right="-134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GRAMMAR AND USE OF ENGLISH  </w:t>
      </w:r>
    </w:p>
    <w:p w:rsidR="00000000" w:rsidDel="00000000" w:rsidP="00000000" w:rsidRDefault="00000000" w:rsidRPr="00000000" w14:paraId="00000015">
      <w:pPr>
        <w:spacing w:line="360" w:lineRule="auto"/>
        <w:ind w:left="-851" w:right="-1342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</w:t>
      </w:r>
    </w:p>
    <w:p w:rsidR="00000000" w:rsidDel="00000000" w:rsidP="00000000" w:rsidRDefault="00000000" w:rsidRPr="00000000" w14:paraId="00000016">
      <w:pPr>
        <w:spacing w:line="360" w:lineRule="auto"/>
        <w:ind w:left="-851" w:right="-1342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</w:t>
      </w:r>
    </w:p>
    <w:p w:rsidR="00000000" w:rsidDel="00000000" w:rsidP="00000000" w:rsidRDefault="00000000" w:rsidRPr="00000000" w14:paraId="00000017">
      <w:pPr>
        <w:spacing w:line="360" w:lineRule="auto"/>
        <w:ind w:left="-851" w:right="-13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ind w:left="-851" w:right="-13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ind w:left="-851" w:right="-13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ind w:left="-851" w:right="-13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Da Twenty – Thirty: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BUSINESS THEORY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UNIT 5 – Marketing p 111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Business plans: a key ingredient for success p112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Responsible business: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Identifying consumers’ needs and wants p113, Defining the purpose of SWOT analysis p 113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is marketing ? The marketing mix p114, Market segmentation p 118, The role of market research p119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Responsible business: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Persuasion strategies p122, Marketing strategies and techniques p123, Green marketing p125,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Responsible business: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Advertising media p128.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UNIT 6 – Banking and finance p141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Banks p142, Banking services p143, Microcredit p144,  Methods of payment p147,  Finance p151, The Stock Exchange p153 When Finance goes wrong p154.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UNIT 7 – Transport and insurance p165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Transport p166, 167,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Responsible business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Recognising trade barriers p169, Means of transport p170, 171,172, Types of packing p174,  The roles of carriers, p177, Transport documents p180, 181,182,183,  Incoterms p184 ( only rules and composition), Insurance p188, 189,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BUSINESS COMMUNICATION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UNIT 2 Business contacts p267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Trade fairs or fair shows p268, 269.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COMPETENCES: Getting information about a fair p270, To make an appointment with a potential customer p271, Dealing with a customer at a fair p 272, Business travel p273, Reserving hotel services p274, Organising a business event p275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REVISION OF UNITS 3 AND 4 (letter writing oggetto delle prove scritte nel trimestre).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CULTURE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UNIT 2 – UK economy at a glance p342  Social and British institutions p344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short history of the UK p346, 347, 348, 349, 350, 352, 353.  A  portrait gallery of English Literature: Oscar Wilde p356,  George Orwell p357 : 1984 (the play. Partecipazione allo spettacolo teatrale presso l?auditorium san fedele di Milano)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UNIT 3 – US Economy p364, US institutions p366, 367,  US history p368, 369, 370, 371, 37, ,373  A  portrait gallery of  US  Literature p377 Scott Fitzgerald: The movie: The Great Gatsby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EDUCAZIONE CIVICA E ORIENTAMENTO: Creazione di un prodotto responsible hi-tech 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TEMA INTERDISCIPLINARE: sul libro di testo p120 Dealing with market factors,  p 121 Choosing social media marketing services,  p126,  Choosing the right advertising media p131 n3 </w:t>
      </w:r>
    </w:p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Approfondimenti svolti dall’analisi di  articoli tratti dall’ECONOMIST:</w:t>
      </w:r>
    </w:p>
    <w:p w:rsidR="00000000" w:rsidDel="00000000" w:rsidP="00000000" w:rsidRDefault="00000000" w:rsidRPr="00000000" w14:paraId="00000037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AI VOTED how artificial intelligence will affect the elections of 2024</w:t>
      </w:r>
    </w:p>
    <w:p w:rsidR="00000000" w:rsidDel="00000000" w:rsidP="00000000" w:rsidRDefault="00000000" w:rsidRPr="00000000" w14:paraId="00000038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ARE FREE MARKETS HISTORY? Governments have jettisoned the principles that made the world rich</w:t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BIGGER AND BETTER the war in Ukraine offers a chance to enlarge and improve the European Union</w:t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ISRAEL’S AGONY and its retribution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o da materiale offerto dall’insegnante sui seguenti argomenti:</w:t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Israele e la  Palestina: un conflitto senza fine? Il conflitto israelo-palestinese: storia di una questione sempre aperta.</w:t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The-new-woman: A Victorian issue,The first colleges for women, The Suffragette Movement, The rise of the women’s rights movement after World War.</w:t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JFK: Commemorazione, memoria, eredità.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Lodi 15 Maggio 2024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L’insegnante                                                                              Gli studenti rappresentanti:</w:t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Prof.ssa Manoela Manghi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3726806640625" w:line="240" w:lineRule="auto"/>
        <w:ind w:left="173.1200408935547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40" w:w="11920" w:orient="portrait"/>
      <w:pgMar w:bottom="4354.907531738281" w:top="1970" w:left="970.0000762939453" w:right="131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